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8E" w:rsidRPr="00BE6739" w:rsidRDefault="007F5FB8" w:rsidP="00375075">
      <w:pPr>
        <w:rPr>
          <w:rFonts w:ascii="Arial Narrow" w:hAnsi="Arial Narrow"/>
          <w:b/>
          <w:smallCaps/>
          <w:sz w:val="24"/>
          <w:lang w:val="es-CO"/>
        </w:rPr>
      </w:pPr>
      <w:r w:rsidRPr="00BE6739">
        <w:rPr>
          <w:rFonts w:ascii="Verdana" w:eastAsia="Verdana" w:hAnsi="Verdana" w:cs="Verdana"/>
          <w:b/>
          <w:noProof/>
          <w:sz w:val="28"/>
          <w:szCs w:val="24"/>
        </w:rPr>
        <w:drawing>
          <wp:anchor distT="0" distB="0" distL="114300" distR="114300" simplePos="0" relativeHeight="251659264" behindDoc="0" locked="0" layoutInCell="1" allowOverlap="1" wp14:anchorId="794E578B" wp14:editId="4D81788A">
            <wp:simplePos x="0" y="0"/>
            <wp:positionH relativeFrom="margin">
              <wp:posOffset>4558665</wp:posOffset>
            </wp:positionH>
            <wp:positionV relativeFrom="paragraph">
              <wp:posOffset>0</wp:posOffset>
            </wp:positionV>
            <wp:extent cx="1429385" cy="843280"/>
            <wp:effectExtent l="0" t="0" r="0" b="0"/>
            <wp:wrapSquare wrapText="bothSides"/>
            <wp:docPr id="1" name="Picture 2" descr="http://www.congresovisible.org/media/uploads/grupos/Colombia_Divers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www.congresovisible.org/media/uploads/grupos/Colombia_Diversa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9385" cy="843280"/>
                    </a:xfrm>
                    <a:prstGeom prst="rect">
                      <a:avLst/>
                    </a:prstGeom>
                    <a:noFill/>
                    <a:extLst/>
                  </pic:spPr>
                </pic:pic>
              </a:graphicData>
            </a:graphic>
            <wp14:sizeRelH relativeFrom="margin">
              <wp14:pctWidth>0</wp14:pctWidth>
            </wp14:sizeRelH>
            <wp14:sizeRelV relativeFrom="margin">
              <wp14:pctHeight>0</wp14:pctHeight>
            </wp14:sizeRelV>
          </wp:anchor>
        </w:drawing>
      </w:r>
      <w:r w:rsidR="00C90101" w:rsidRPr="00BE6739">
        <w:rPr>
          <w:rFonts w:ascii="Arial Narrow" w:hAnsi="Arial Narrow"/>
          <w:b/>
          <w:smallCaps/>
          <w:sz w:val="24"/>
          <w:lang w:val="es-CO"/>
        </w:rPr>
        <w:t xml:space="preserve">Plan Nacional de Litigio Estratégico </w:t>
      </w:r>
    </w:p>
    <w:p w:rsidR="00C90101" w:rsidRDefault="00C90101" w:rsidP="00375075">
      <w:pPr>
        <w:rPr>
          <w:rFonts w:ascii="Arial Narrow" w:hAnsi="Arial Narrow"/>
          <w:lang w:val="es-CO"/>
        </w:rPr>
      </w:pPr>
      <w:r w:rsidRPr="00BE6739">
        <w:rPr>
          <w:rFonts w:ascii="Arial Narrow" w:hAnsi="Arial Narrow"/>
          <w:b/>
          <w:lang w:val="es-CO"/>
        </w:rPr>
        <w:t>Preparado por:</w:t>
      </w:r>
      <w:r w:rsidRPr="00C90101">
        <w:rPr>
          <w:rFonts w:ascii="Arial Narrow" w:hAnsi="Arial Narrow"/>
          <w:lang w:val="es-CO"/>
        </w:rPr>
        <w:t xml:space="preserve"> Colombia Diversa – Área de </w:t>
      </w:r>
      <w:r w:rsidR="00D00F50">
        <w:rPr>
          <w:rFonts w:ascii="Arial Narrow" w:hAnsi="Arial Narrow"/>
          <w:lang w:val="es-CO"/>
        </w:rPr>
        <w:t xml:space="preserve">Litigio. </w:t>
      </w:r>
    </w:p>
    <w:p w:rsidR="00D00F50" w:rsidRPr="00BE6739" w:rsidRDefault="00D00F50" w:rsidP="00375075">
      <w:pPr>
        <w:rPr>
          <w:rFonts w:ascii="Arial Narrow" w:hAnsi="Arial Narrow"/>
          <w:lang w:val="es-CO"/>
        </w:rPr>
      </w:pPr>
      <w:r w:rsidRPr="007F5FB8">
        <w:rPr>
          <w:rFonts w:ascii="Arial Narrow" w:hAnsi="Arial Narrow"/>
          <w:b/>
          <w:lang w:val="es-CO"/>
        </w:rPr>
        <w:t xml:space="preserve">Tema: </w:t>
      </w:r>
      <w:r w:rsidRPr="00BE6739">
        <w:rPr>
          <w:rFonts w:ascii="Arial Narrow" w:hAnsi="Arial Narrow"/>
          <w:lang w:val="es-CO"/>
        </w:rPr>
        <w:t xml:space="preserve">Libreta Militar y hombres trans. </w:t>
      </w:r>
    </w:p>
    <w:p w:rsidR="00BE6739" w:rsidRPr="007F5FB8" w:rsidRDefault="00BE6739" w:rsidP="00375075">
      <w:pPr>
        <w:rPr>
          <w:rFonts w:ascii="Arial Narrow" w:hAnsi="Arial Narrow"/>
          <w:b/>
          <w:lang w:val="es-CO"/>
        </w:rPr>
      </w:pPr>
      <w:r>
        <w:rPr>
          <w:rFonts w:ascii="Arial Narrow" w:hAnsi="Arial Narrow"/>
          <w:b/>
          <w:lang w:val="es-CO"/>
        </w:rPr>
        <w:t xml:space="preserve">Estado: </w:t>
      </w:r>
      <w:r w:rsidRPr="00BE6739">
        <w:rPr>
          <w:rFonts w:ascii="Arial Narrow" w:hAnsi="Arial Narrow"/>
          <w:lang w:val="es-CO"/>
        </w:rPr>
        <w:t>En Ejecución.</w:t>
      </w:r>
      <w:r>
        <w:rPr>
          <w:rFonts w:ascii="Arial Narrow" w:hAnsi="Arial Narrow"/>
          <w:b/>
          <w:lang w:val="es-CO"/>
        </w:rPr>
        <w:t xml:space="preserve"> </w:t>
      </w:r>
    </w:p>
    <w:p w:rsidR="000D6584" w:rsidRDefault="00D00F50" w:rsidP="00375075">
      <w:pPr>
        <w:rPr>
          <w:rFonts w:ascii="Arial Narrow" w:hAnsi="Arial Narrow"/>
          <w:lang w:val="es-CO"/>
        </w:rPr>
      </w:pPr>
      <w:r w:rsidRPr="00D00F50">
        <w:rPr>
          <w:rFonts w:ascii="Arial Narrow" w:hAnsi="Arial Narrow"/>
          <w:b/>
          <w:lang w:val="es-CO"/>
        </w:rPr>
        <w:t>Asunto</w:t>
      </w:r>
      <w:r w:rsidR="000D6584">
        <w:rPr>
          <w:rFonts w:ascii="Arial Narrow" w:hAnsi="Arial Narrow"/>
          <w:b/>
          <w:lang w:val="es-CO"/>
        </w:rPr>
        <w:t xml:space="preserve"> y Objetivo</w:t>
      </w:r>
      <w:r w:rsidRPr="00D00F50">
        <w:rPr>
          <w:rFonts w:ascii="Arial Narrow" w:hAnsi="Arial Narrow"/>
          <w:b/>
          <w:lang w:val="es-CO"/>
        </w:rPr>
        <w:t>:</w:t>
      </w:r>
      <w:r>
        <w:rPr>
          <w:rFonts w:ascii="Arial Narrow" w:hAnsi="Arial Narrow"/>
          <w:lang w:val="es-CO"/>
        </w:rPr>
        <w:t xml:space="preserve"> Los hombres trans encuentran dificultades y problemas para acceder a la libreta militar porque se encuentran en un imposible jurídico: (a) No pueden prestar servicio, (b) no hay trámites y caminos administrativos para regularizar su situación militar; (c) encuentran barreras en su trabajo, educación, seguridad e intimidad. </w:t>
      </w:r>
    </w:p>
    <w:p w:rsidR="00D00F50" w:rsidRDefault="000D6584" w:rsidP="00375075">
      <w:pPr>
        <w:rPr>
          <w:rFonts w:ascii="Arial Narrow" w:hAnsi="Arial Narrow"/>
          <w:lang w:val="es-CO"/>
        </w:rPr>
      </w:pPr>
      <w:r>
        <w:rPr>
          <w:rFonts w:ascii="Arial Narrow" w:hAnsi="Arial Narrow"/>
          <w:lang w:val="es-CO"/>
        </w:rPr>
        <w:t xml:space="preserve">Se busca facilitar el acceso de los hombres trans a este documento. </w:t>
      </w:r>
    </w:p>
    <w:p w:rsidR="00D00F50" w:rsidRDefault="00D00F50" w:rsidP="00375075">
      <w:pPr>
        <w:rPr>
          <w:rFonts w:ascii="Arial Narrow" w:hAnsi="Arial Narrow"/>
          <w:lang w:val="es-CO"/>
        </w:rPr>
      </w:pPr>
      <w:r w:rsidRPr="007F5FB8">
        <w:rPr>
          <w:rFonts w:ascii="Arial Narrow" w:hAnsi="Arial Narrow"/>
          <w:b/>
          <w:lang w:val="es-CO"/>
        </w:rPr>
        <w:t>Leyes o Reglamentación</w:t>
      </w:r>
      <w:r w:rsidR="00BE6739">
        <w:rPr>
          <w:rFonts w:ascii="Arial Narrow" w:hAnsi="Arial Narrow"/>
          <w:b/>
          <w:lang w:val="es-CO"/>
        </w:rPr>
        <w:t xml:space="preserve"> relevante</w:t>
      </w:r>
      <w:r w:rsidRPr="007F5FB8">
        <w:rPr>
          <w:rFonts w:ascii="Arial Narrow" w:hAnsi="Arial Narrow"/>
          <w:b/>
          <w:lang w:val="es-CO"/>
        </w:rPr>
        <w:t>:</w:t>
      </w:r>
      <w:r>
        <w:rPr>
          <w:rFonts w:ascii="Arial Narrow" w:hAnsi="Arial Narrow"/>
          <w:lang w:val="es-CO"/>
        </w:rPr>
        <w:t xml:space="preserve"> Ley 1861 de 2017. Art. 12. K)</w:t>
      </w:r>
    </w:p>
    <w:p w:rsidR="00BE6739" w:rsidRPr="00BE6739" w:rsidRDefault="00BE6739" w:rsidP="00375075">
      <w:pPr>
        <w:rPr>
          <w:rFonts w:ascii="Arial Narrow" w:hAnsi="Arial Narrow"/>
          <w:b/>
          <w:lang w:val="es-CO"/>
        </w:rPr>
      </w:pPr>
      <w:r w:rsidRPr="00BE6739">
        <w:rPr>
          <w:rFonts w:ascii="Arial Narrow" w:hAnsi="Arial Narrow"/>
          <w:b/>
          <w:lang w:val="es-CO"/>
        </w:rPr>
        <w:t xml:space="preserve">Sentencias Relevantes: </w:t>
      </w:r>
      <w:r w:rsidRPr="00BE6739">
        <w:rPr>
          <w:rFonts w:ascii="Arial Narrow" w:hAnsi="Arial Narrow"/>
          <w:lang w:val="es-CO"/>
        </w:rPr>
        <w:t xml:space="preserve">T-099 de 2015. C-022 de 2019. </w:t>
      </w:r>
    </w:p>
    <w:p w:rsidR="00D00F50" w:rsidRDefault="00D00F50" w:rsidP="00375075">
      <w:pPr>
        <w:rPr>
          <w:rFonts w:ascii="Arial Narrow" w:hAnsi="Arial Narrow"/>
          <w:lang w:val="es-CO"/>
        </w:rPr>
      </w:pPr>
      <w:r w:rsidRPr="007F5FB8">
        <w:rPr>
          <w:rFonts w:ascii="Arial Narrow" w:hAnsi="Arial Narrow"/>
          <w:b/>
          <w:lang w:val="es-CO"/>
        </w:rPr>
        <w:t>Explicación:</w:t>
      </w:r>
      <w:r>
        <w:rPr>
          <w:rFonts w:ascii="Arial Narrow" w:hAnsi="Arial Narrow"/>
          <w:lang w:val="es-CO"/>
        </w:rPr>
        <w:t xml:space="preserve"> El artículo 12 K) de la Ley de Reclutamiento aborda la situación de mujeres trans. En el artículo 12 hay una lista de hombres exentos de prestar el servicio militar. La exclusión de los hombres trans de esta lista y la inclusión de mujeres trans es inconstitucional. </w:t>
      </w:r>
      <w:r w:rsidR="009959C5">
        <w:rPr>
          <w:rFonts w:ascii="Arial Narrow" w:hAnsi="Arial Narrow"/>
          <w:lang w:val="es-CO"/>
        </w:rPr>
        <w:t>Se busca mecanismos judiciales o administrativos para superar el impasse.</w:t>
      </w:r>
      <w:bookmarkStart w:id="0" w:name="_GoBack"/>
      <w:bookmarkEnd w:id="0"/>
    </w:p>
    <w:p w:rsidR="007F5FB8" w:rsidRPr="007F5FB8" w:rsidRDefault="007F5FB8" w:rsidP="00375075">
      <w:pPr>
        <w:rPr>
          <w:rFonts w:ascii="Arial Narrow" w:hAnsi="Arial Narrow"/>
          <w:b/>
          <w:lang w:val="es-CO"/>
        </w:rPr>
      </w:pPr>
      <w:r w:rsidRPr="007F5FB8">
        <w:rPr>
          <w:rFonts w:ascii="Arial Narrow" w:hAnsi="Arial Narrow"/>
          <w:b/>
          <w:lang w:val="es-CO"/>
        </w:rPr>
        <w:t xml:space="preserve">Acciones: </w:t>
      </w:r>
    </w:p>
    <w:p w:rsidR="007F5FB8" w:rsidRDefault="007F5FB8" w:rsidP="007F5FB8">
      <w:pPr>
        <w:pStyle w:val="Prrafodelista"/>
        <w:numPr>
          <w:ilvl w:val="0"/>
          <w:numId w:val="1"/>
        </w:numPr>
        <w:rPr>
          <w:rFonts w:ascii="Arial Narrow" w:hAnsi="Arial Narrow"/>
          <w:lang w:val="es-CO"/>
        </w:rPr>
      </w:pPr>
      <w:r>
        <w:rPr>
          <w:rFonts w:ascii="Arial Narrow" w:hAnsi="Arial Narrow"/>
          <w:lang w:val="es-CO"/>
        </w:rPr>
        <w:t>Demanda de Inconstitucionalidad: Demandar el Artículo 12 de la Ley de Reclutamiento con el objetivo de incluir a los hombres trans en la lista de personas exenta</w:t>
      </w:r>
      <w:r w:rsidR="00223D8E">
        <w:rPr>
          <w:rFonts w:ascii="Arial Narrow" w:hAnsi="Arial Narrow"/>
          <w:lang w:val="es-CO"/>
        </w:rPr>
        <w:t xml:space="preserve">s con el objetivo de establecerles un camino legal para salir de la situación. Lidera Dejusticia. </w:t>
      </w:r>
    </w:p>
    <w:p w:rsidR="00223D8E" w:rsidRDefault="00223D8E" w:rsidP="007F5FB8">
      <w:pPr>
        <w:pStyle w:val="Prrafodelista"/>
        <w:numPr>
          <w:ilvl w:val="0"/>
          <w:numId w:val="1"/>
        </w:numPr>
        <w:rPr>
          <w:rFonts w:ascii="Arial Narrow" w:hAnsi="Arial Narrow"/>
          <w:lang w:val="es-CO"/>
        </w:rPr>
      </w:pPr>
      <w:r>
        <w:rPr>
          <w:rFonts w:ascii="Arial Narrow" w:hAnsi="Arial Narrow"/>
          <w:lang w:val="es-CO"/>
        </w:rPr>
        <w:t xml:space="preserve">Estrategia de Comunicaciones. Lidera Dejusticia. </w:t>
      </w:r>
    </w:p>
    <w:p w:rsidR="00223D8E" w:rsidRDefault="00223D8E" w:rsidP="007F5FB8">
      <w:pPr>
        <w:pStyle w:val="Prrafodelista"/>
        <w:numPr>
          <w:ilvl w:val="0"/>
          <w:numId w:val="1"/>
        </w:numPr>
        <w:rPr>
          <w:rFonts w:ascii="Arial Narrow" w:hAnsi="Arial Narrow"/>
          <w:lang w:val="es-CO"/>
        </w:rPr>
      </w:pPr>
      <w:r>
        <w:rPr>
          <w:rFonts w:ascii="Arial Narrow" w:hAnsi="Arial Narrow"/>
          <w:lang w:val="es-CO"/>
        </w:rPr>
        <w:t>Publicación de Libro sobre el tema. Autoría: Red Distrital de Hombres Trans y AYLLU junto con Dejusticia.</w:t>
      </w:r>
    </w:p>
    <w:p w:rsidR="00223D8E" w:rsidRDefault="00223D8E" w:rsidP="00223D8E">
      <w:pPr>
        <w:pStyle w:val="Prrafodelista"/>
        <w:numPr>
          <w:ilvl w:val="0"/>
          <w:numId w:val="1"/>
        </w:numPr>
        <w:rPr>
          <w:rFonts w:ascii="Arial Narrow" w:hAnsi="Arial Narrow"/>
          <w:lang w:val="es-CO"/>
        </w:rPr>
      </w:pPr>
      <w:r>
        <w:rPr>
          <w:rFonts w:ascii="Arial Narrow" w:hAnsi="Arial Narrow"/>
          <w:lang w:val="es-CO"/>
        </w:rPr>
        <w:t xml:space="preserve">Incidencia y Reuniones con </w:t>
      </w:r>
      <w:proofErr w:type="spellStart"/>
      <w:r>
        <w:rPr>
          <w:rFonts w:ascii="Arial Narrow" w:hAnsi="Arial Narrow"/>
          <w:lang w:val="es-CO"/>
        </w:rPr>
        <w:t>MinDefensa</w:t>
      </w:r>
      <w:proofErr w:type="spellEnd"/>
      <w:r>
        <w:rPr>
          <w:rFonts w:ascii="Arial Narrow" w:hAnsi="Arial Narrow"/>
          <w:lang w:val="es-CO"/>
        </w:rPr>
        <w:t xml:space="preserve">. Con el objetivo de abordar el tema, se celebran reuniones con la Secretaría General, Dirección de DD.HH, Dirección Legal y Asesor del Despacho para abordar el tema, buscando mecanismos administrativos. Lidera: Colombia Diversa. </w:t>
      </w:r>
    </w:p>
    <w:p w:rsidR="00BE6739" w:rsidRPr="00223D8E" w:rsidRDefault="00BE6739" w:rsidP="00223D8E">
      <w:pPr>
        <w:pStyle w:val="Prrafodelista"/>
        <w:numPr>
          <w:ilvl w:val="0"/>
          <w:numId w:val="1"/>
        </w:numPr>
        <w:rPr>
          <w:rFonts w:ascii="Arial Narrow" w:hAnsi="Arial Narrow"/>
          <w:lang w:val="es-CO"/>
        </w:rPr>
      </w:pPr>
      <w:r>
        <w:rPr>
          <w:rFonts w:ascii="Arial Narrow" w:hAnsi="Arial Narrow"/>
          <w:lang w:val="es-CO"/>
        </w:rPr>
        <w:t xml:space="preserve">Estrategia de tutelas con varios casos distintos para visibilizar el problema. </w:t>
      </w:r>
    </w:p>
    <w:p w:rsidR="00223D8E" w:rsidRPr="000D6584" w:rsidRDefault="00223D8E" w:rsidP="000D6584">
      <w:pPr>
        <w:rPr>
          <w:rFonts w:ascii="Arial Narrow" w:hAnsi="Arial Narrow"/>
          <w:lang w:val="es-CO"/>
        </w:rPr>
      </w:pPr>
      <w:r w:rsidRPr="00223D8E">
        <w:rPr>
          <w:rFonts w:ascii="Arial Narrow" w:hAnsi="Arial Narrow"/>
          <w:b/>
          <w:lang w:val="es-CO"/>
        </w:rPr>
        <w:t>Ejecutores:</w:t>
      </w:r>
      <w:r>
        <w:rPr>
          <w:rFonts w:ascii="Arial Narrow" w:hAnsi="Arial Narrow"/>
          <w:lang w:val="es-CO"/>
        </w:rPr>
        <w:t xml:space="preserve"> </w:t>
      </w:r>
      <w:proofErr w:type="spellStart"/>
      <w:r w:rsidRPr="000D6584">
        <w:rPr>
          <w:rFonts w:ascii="Arial Narrow" w:hAnsi="Arial Narrow"/>
          <w:lang w:val="es-CO"/>
        </w:rPr>
        <w:t>Dej</w:t>
      </w:r>
      <w:r w:rsidRPr="000D6584">
        <w:rPr>
          <w:rFonts w:ascii="Arial Narrow" w:hAnsi="Arial Narrow"/>
          <w:lang w:val="es-CO"/>
        </w:rPr>
        <w:t>usticia</w:t>
      </w:r>
      <w:proofErr w:type="gramStart"/>
      <w:r w:rsidRPr="000D6584">
        <w:rPr>
          <w:rFonts w:ascii="Arial Narrow" w:hAnsi="Arial Narrow"/>
          <w:lang w:val="es-CO"/>
        </w:rPr>
        <w:t>;Colombia</w:t>
      </w:r>
      <w:proofErr w:type="spellEnd"/>
      <w:proofErr w:type="gramEnd"/>
      <w:r w:rsidRPr="000D6584">
        <w:rPr>
          <w:rFonts w:ascii="Arial Narrow" w:hAnsi="Arial Narrow"/>
          <w:lang w:val="es-CO"/>
        </w:rPr>
        <w:t xml:space="preserve"> Diversa; </w:t>
      </w:r>
      <w:r w:rsidRPr="000D6584">
        <w:rPr>
          <w:rFonts w:ascii="Arial Narrow" w:hAnsi="Arial Narrow"/>
          <w:lang w:val="es-CO"/>
        </w:rPr>
        <w:t xml:space="preserve">Red Distrital </w:t>
      </w:r>
      <w:r w:rsidRPr="000D6584">
        <w:rPr>
          <w:rFonts w:ascii="Arial Narrow" w:hAnsi="Arial Narrow"/>
          <w:lang w:val="es-CO"/>
        </w:rPr>
        <w:t xml:space="preserve">de Hombres </w:t>
      </w:r>
      <w:proofErr w:type="spellStart"/>
      <w:r w:rsidRPr="000D6584">
        <w:rPr>
          <w:rFonts w:ascii="Arial Narrow" w:hAnsi="Arial Narrow"/>
          <w:lang w:val="es-CO"/>
        </w:rPr>
        <w:t>Trans;</w:t>
      </w:r>
      <w:r w:rsidRPr="000D6584">
        <w:rPr>
          <w:rFonts w:ascii="Arial Narrow" w:hAnsi="Arial Narrow"/>
          <w:lang w:val="es-CO"/>
        </w:rPr>
        <w:t>Ayllu</w:t>
      </w:r>
      <w:proofErr w:type="spellEnd"/>
      <w:r w:rsidRPr="000D6584">
        <w:rPr>
          <w:rFonts w:ascii="Arial Narrow" w:hAnsi="Arial Narrow"/>
          <w:lang w:val="es-CO"/>
        </w:rPr>
        <w:t xml:space="preserve">. </w:t>
      </w:r>
    </w:p>
    <w:p w:rsidR="00223D8E" w:rsidRDefault="00223D8E" w:rsidP="00223D8E">
      <w:pPr>
        <w:rPr>
          <w:rFonts w:ascii="Arial Narrow" w:hAnsi="Arial Narrow"/>
          <w:lang w:val="es-CO"/>
        </w:rPr>
      </w:pPr>
      <w:r w:rsidRPr="00223D8E">
        <w:rPr>
          <w:rFonts w:ascii="Arial Narrow" w:hAnsi="Arial Narrow"/>
          <w:b/>
          <w:lang w:val="es-CO"/>
        </w:rPr>
        <w:t>Periodo de Ejecución:</w:t>
      </w:r>
      <w:r>
        <w:rPr>
          <w:rFonts w:ascii="Arial Narrow" w:hAnsi="Arial Narrow"/>
          <w:lang w:val="es-CO"/>
        </w:rPr>
        <w:t xml:space="preserve"> Marzo del 2021 en adelante. </w:t>
      </w:r>
    </w:p>
    <w:p w:rsidR="00BE6739" w:rsidRDefault="00BE6739" w:rsidP="00223D8E">
      <w:pPr>
        <w:rPr>
          <w:rFonts w:ascii="Arial Narrow" w:hAnsi="Arial Narrow"/>
          <w:b/>
          <w:lang w:val="es-CO"/>
        </w:rPr>
      </w:pPr>
      <w:r w:rsidRPr="00BE6739">
        <w:rPr>
          <w:rFonts w:ascii="Arial Narrow" w:hAnsi="Arial Narrow"/>
          <w:b/>
          <w:lang w:val="es-CO"/>
        </w:rPr>
        <w:t xml:space="preserve">Riesgos: </w:t>
      </w:r>
    </w:p>
    <w:p w:rsidR="00BE6739" w:rsidRPr="00BE6739" w:rsidRDefault="00BE6739" w:rsidP="00BE6739">
      <w:pPr>
        <w:pStyle w:val="Prrafodelista"/>
        <w:numPr>
          <w:ilvl w:val="0"/>
          <w:numId w:val="4"/>
        </w:numPr>
        <w:rPr>
          <w:rFonts w:ascii="Arial Narrow" w:hAnsi="Arial Narrow"/>
          <w:b/>
          <w:lang w:val="es-CO"/>
        </w:rPr>
      </w:pPr>
      <w:r>
        <w:rPr>
          <w:rFonts w:ascii="Arial Narrow" w:hAnsi="Arial Narrow"/>
          <w:lang w:val="es-CO"/>
        </w:rPr>
        <w:t xml:space="preserve">Cosa juzgada. </w:t>
      </w:r>
    </w:p>
    <w:p w:rsidR="00BE6739" w:rsidRPr="00BE6739" w:rsidRDefault="00BE6739" w:rsidP="00BE6739">
      <w:pPr>
        <w:pStyle w:val="Prrafodelista"/>
        <w:numPr>
          <w:ilvl w:val="0"/>
          <w:numId w:val="4"/>
        </w:numPr>
        <w:rPr>
          <w:rFonts w:ascii="Arial Narrow" w:hAnsi="Arial Narrow"/>
          <w:b/>
          <w:lang w:val="es-CO"/>
        </w:rPr>
      </w:pPr>
      <w:r>
        <w:rPr>
          <w:rFonts w:ascii="Arial Narrow" w:hAnsi="Arial Narrow"/>
          <w:lang w:val="es-CO"/>
        </w:rPr>
        <w:t xml:space="preserve">Debilitamiento del proceso por fricciones y posturas distintas en el movimiento trans. </w:t>
      </w:r>
    </w:p>
    <w:p w:rsidR="00BE6739" w:rsidRPr="00BE6739" w:rsidRDefault="00BE6739" w:rsidP="00BE6739">
      <w:pPr>
        <w:pStyle w:val="Prrafodelista"/>
        <w:numPr>
          <w:ilvl w:val="0"/>
          <w:numId w:val="4"/>
        </w:numPr>
        <w:rPr>
          <w:rFonts w:ascii="Arial Narrow" w:hAnsi="Arial Narrow"/>
          <w:b/>
          <w:lang w:val="es-CO"/>
        </w:rPr>
      </w:pPr>
      <w:r>
        <w:rPr>
          <w:rFonts w:ascii="Arial Narrow" w:hAnsi="Arial Narrow"/>
          <w:lang w:val="es-CO"/>
        </w:rPr>
        <w:t xml:space="preserve">Despachos de la Corte conservadores pueden terminar decidiendo casos. </w:t>
      </w:r>
    </w:p>
    <w:p w:rsidR="00223D8E" w:rsidRPr="00BE6739" w:rsidRDefault="00BE6739" w:rsidP="00BE6739">
      <w:pPr>
        <w:pBdr>
          <w:top w:val="single" w:sz="4" w:space="1" w:color="auto"/>
          <w:left w:val="single" w:sz="4" w:space="4" w:color="auto"/>
          <w:bottom w:val="single" w:sz="4" w:space="1" w:color="auto"/>
          <w:right w:val="single" w:sz="4" w:space="4" w:color="auto"/>
        </w:pBdr>
        <w:rPr>
          <w:rFonts w:ascii="Arial Narrow" w:hAnsi="Arial Narrow"/>
          <w:b/>
          <w:lang w:val="es-CO"/>
        </w:rPr>
      </w:pPr>
      <w:r>
        <w:rPr>
          <w:rFonts w:ascii="Arial Narrow" w:hAnsi="Arial Narrow"/>
          <w:b/>
          <w:lang w:val="es-CO"/>
        </w:rPr>
        <w:t>Actividades más recientes</w:t>
      </w:r>
    </w:p>
    <w:p w:rsidR="00BE6739" w:rsidRDefault="00BE6739" w:rsidP="00BE6739">
      <w:pPr>
        <w:pStyle w:val="Prrafodelista"/>
        <w:numPr>
          <w:ilvl w:val="0"/>
          <w:numId w:val="3"/>
        </w:numPr>
        <w:rPr>
          <w:rFonts w:ascii="Arial Narrow" w:hAnsi="Arial Narrow"/>
          <w:lang w:val="es-CO"/>
        </w:rPr>
      </w:pPr>
      <w:r>
        <w:rPr>
          <w:rFonts w:ascii="Arial Narrow" w:hAnsi="Arial Narrow"/>
          <w:lang w:val="es-CO"/>
        </w:rPr>
        <w:t xml:space="preserve">Presentación de demanda ante la Corte Constitucional y su rechazo mediante auto. </w:t>
      </w:r>
    </w:p>
    <w:p w:rsidR="00BE6739" w:rsidRDefault="00BE6739" w:rsidP="00BE6739">
      <w:pPr>
        <w:pStyle w:val="Prrafodelista"/>
        <w:numPr>
          <w:ilvl w:val="0"/>
          <w:numId w:val="3"/>
        </w:numPr>
        <w:rPr>
          <w:rFonts w:ascii="Arial Narrow" w:hAnsi="Arial Narrow"/>
          <w:lang w:val="es-CO"/>
        </w:rPr>
      </w:pPr>
      <w:r>
        <w:rPr>
          <w:rFonts w:ascii="Arial Narrow" w:hAnsi="Arial Narrow"/>
          <w:lang w:val="es-CO"/>
        </w:rPr>
        <w:t xml:space="preserve">Reunión con el Ministerio de Defensa y hombres trans. Acceden a revisar el asunto y empezar a identificar barreras. </w:t>
      </w:r>
    </w:p>
    <w:p w:rsidR="00D00F50" w:rsidRPr="00BE6739" w:rsidRDefault="00BE6739" w:rsidP="00375075">
      <w:pPr>
        <w:pStyle w:val="Prrafodelista"/>
        <w:numPr>
          <w:ilvl w:val="0"/>
          <w:numId w:val="3"/>
        </w:numPr>
        <w:rPr>
          <w:rFonts w:ascii="Arial Narrow" w:hAnsi="Arial Narrow"/>
          <w:lang w:val="es-CO"/>
        </w:rPr>
      </w:pPr>
      <w:r>
        <w:rPr>
          <w:rFonts w:ascii="Arial Narrow" w:hAnsi="Arial Narrow"/>
          <w:lang w:val="es-CO"/>
        </w:rPr>
        <w:t xml:space="preserve">Lanzamiento del libro y estrategia de comunicación. </w:t>
      </w:r>
    </w:p>
    <w:sectPr w:rsidR="00D00F50" w:rsidRPr="00BE6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33F4"/>
    <w:multiLevelType w:val="hybridMultilevel"/>
    <w:tmpl w:val="9F9E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4004F"/>
    <w:multiLevelType w:val="hybridMultilevel"/>
    <w:tmpl w:val="F3EC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27456"/>
    <w:multiLevelType w:val="hybridMultilevel"/>
    <w:tmpl w:val="958C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1008F"/>
    <w:multiLevelType w:val="hybridMultilevel"/>
    <w:tmpl w:val="750E189A"/>
    <w:lvl w:ilvl="0" w:tplc="0B74BF9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DD"/>
    <w:rsid w:val="00027999"/>
    <w:rsid w:val="000D6584"/>
    <w:rsid w:val="00223D8E"/>
    <w:rsid w:val="00375075"/>
    <w:rsid w:val="00700401"/>
    <w:rsid w:val="007F5FB8"/>
    <w:rsid w:val="009959C5"/>
    <w:rsid w:val="00BE6739"/>
    <w:rsid w:val="00C90101"/>
    <w:rsid w:val="00D00F50"/>
    <w:rsid w:val="00E7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2FDE7-018C-4A46-B3E0-BD98F1FD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5FB8"/>
    <w:pPr>
      <w:ind w:left="720"/>
      <w:contextualSpacing/>
    </w:pPr>
  </w:style>
  <w:style w:type="table" w:styleId="Tablaconcuadrcula">
    <w:name w:val="Table Grid"/>
    <w:basedOn w:val="Tablanormal"/>
    <w:uiPriority w:val="39"/>
    <w:rsid w:val="00BE6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2822</TotalTime>
  <Pages>1</Pages>
  <Words>359</Words>
  <Characters>2049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Rivera</dc:creator>
  <cp:keywords/>
  <dc:description/>
  <cp:lastModifiedBy>Juan Felipe Rivera</cp:lastModifiedBy>
  <cp:revision>2</cp:revision>
  <dcterms:created xsi:type="dcterms:W3CDTF">2021-11-19T20:51:00Z</dcterms:created>
  <dcterms:modified xsi:type="dcterms:W3CDTF">2021-11-21T19:53:00Z</dcterms:modified>
</cp:coreProperties>
</file>